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56A1" w14:textId="77777777" w:rsidR="002143C8" w:rsidRPr="0034688E" w:rsidRDefault="0034688E" w:rsidP="00C46BA4">
      <w:pPr>
        <w:spacing w:after="0" w:line="240" w:lineRule="auto"/>
        <w:rPr>
          <w:rFonts w:ascii="Verdana" w:hAnsi="Verdana"/>
          <w:sz w:val="18"/>
          <w:szCs w:val="18"/>
          <w:lang w:val="en-US"/>
        </w:rPr>
      </w:pPr>
      <w:r w:rsidRPr="0034688E">
        <w:rPr>
          <w:noProof/>
          <w:lang w:val="en-US" w:eastAsia="de-DE"/>
        </w:rPr>
        <mc:AlternateContent>
          <mc:Choice Requires="wps">
            <w:drawing>
              <wp:anchor distT="0" distB="0" distL="114300" distR="114300" simplePos="0" relativeHeight="251661312" behindDoc="0" locked="0" layoutInCell="1" allowOverlap="1" wp14:anchorId="523D1E2A" wp14:editId="0DBB0DB9">
                <wp:simplePos x="0" y="0"/>
                <wp:positionH relativeFrom="page">
                  <wp:posOffset>609600</wp:posOffset>
                </wp:positionH>
                <wp:positionV relativeFrom="margin">
                  <wp:align>top</wp:align>
                </wp:positionV>
                <wp:extent cx="4743450" cy="323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B314" w14:textId="77777777" w:rsidR="00390093" w:rsidRPr="004E3215" w:rsidRDefault="0034688E" w:rsidP="00390093">
                            <w:pPr>
                              <w:rPr>
                                <w:rFonts w:ascii="Titillium" w:hAnsi="Titillium"/>
                                <w:sz w:val="28"/>
                                <w:szCs w:val="28"/>
                              </w:rPr>
                            </w:pPr>
                            <w:r w:rsidRPr="004E3215">
                              <w:rPr>
                                <w:rFonts w:ascii="Titillium" w:hAnsi="Titillium"/>
                                <w:sz w:val="28"/>
                                <w:szCs w:val="28"/>
                                <w:lang w:val="en-US"/>
                              </w:rPr>
                              <w:t>14 June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23D1E2A" id="_x0000_t202" coordsize="21600,21600" o:spt="202" path="m,l,21600r21600,l21600,xe">
                <v:stroke joinstyle="miter"/>
                <v:path gradientshapeok="t" o:connecttype="rect"/>
              </v:shapetype>
              <v:shape id="Text Box 2" o:spid="_x0000_s1026" type="#_x0000_t202" style="position:absolute;margin-left:48pt;margin-top:0;width:373.5pt;height:25.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" filled="f" stroked="f">
                <v:textbox inset=",0,,0">
                  <w:txbxContent>
                    <w:p w14:paraId="5D83B314" w14:textId="77777777" w:rsidR="00390093" w:rsidRPr="004E3215" w:rsidRDefault="0034688E" w:rsidP="00390093">
                      <w:pPr>
                        <w:rPr>
                          <w:rFonts w:ascii="Titillium" w:hAnsi="Titillium"/>
                          <w:sz w:val="28"/>
                          <w:szCs w:val="28"/>
                        </w:rPr>
                      </w:pPr>
                      <w:r w:rsidRPr="004E3215">
                        <w:rPr>
                          <w:rFonts w:ascii="Titillium" w:hAnsi="Titillium"/>
                          <w:sz w:val="28"/>
                          <w:szCs w:val="28"/>
                          <w:lang w:val="en-US"/>
                        </w:rPr>
                        <w:t>14 June 2022</w:t>
                      </w:r>
                    </w:p>
                  </w:txbxContent>
                </v:textbox>
                <w10:wrap type="topAndBottom" anchorx="page" anchory="margin"/>
              </v:shape>
            </w:pict>
          </mc:Fallback>
        </mc:AlternateContent>
      </w:r>
      <w:r w:rsidR="00C064E9" w:rsidRPr="0034688E">
        <w:rPr>
          <w:noProof/>
          <w:lang w:val="en-US" w:eastAsia="de-DE"/>
        </w:rPr>
        <mc:AlternateContent>
          <mc:Choice Requires="wps">
            <w:drawing>
              <wp:anchor distT="0" distB="0" distL="114300" distR="114300" simplePos="0" relativeHeight="251659264" behindDoc="1" locked="0" layoutInCell="1" allowOverlap="1" wp14:anchorId="5C0A2B3A" wp14:editId="0D2932AE">
                <wp:simplePos x="0" y="0"/>
                <wp:positionH relativeFrom="page">
                  <wp:posOffset>609600</wp:posOffset>
                </wp:positionH>
                <wp:positionV relativeFrom="topMargin">
                  <wp:align>bottom</wp:align>
                </wp:positionV>
                <wp:extent cx="6313805" cy="3619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CEAB" w14:textId="77777777" w:rsidR="00390093" w:rsidRPr="007B3FF2" w:rsidRDefault="0034688E" w:rsidP="00390093">
                            <w:pPr>
                              <w:rPr>
                                <w:rFonts w:ascii="Titillium" w:hAnsi="Titillium"/>
                                <w:color w:val="00B0F0"/>
                                <w:sz w:val="40"/>
                                <w:szCs w:val="40"/>
                              </w:rPr>
                            </w:pPr>
                            <w:r w:rsidRPr="007B3FF2">
                              <w:rPr>
                                <w:rFonts w:ascii="Titillium" w:hAnsi="Titillium"/>
                                <w:color w:val="00B0F0"/>
                                <w:sz w:val="40"/>
                                <w:szCs w:val="40"/>
                                <w:lang w:val="en-US"/>
                              </w:rPr>
                              <w:t>Press Release</w:t>
                            </w:r>
                          </w:p>
                        </w:txbxContent>
                      </wps:txbx>
                      <wps:bodyPr rot="0" vert="horz" wrap="square" lIns="91440" tIns="0" rIns="91440" bIns="0"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0A2B3A" id="Text Box 1" o:spid="_x0000_s1027" type="#_x0000_t202" style="position:absolute;margin-left:48pt;margin-top:0;width:497.15pt;height:2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" filled="f" stroked="f">
                <v:textbox inset=",0,,0">
                  <w:txbxContent>
                    <w:p w14:paraId="02A7CEAB" w14:textId="77777777" w:rsidR="00390093" w:rsidRPr="007B3FF2" w:rsidRDefault="0034688E" w:rsidP="00390093">
                      <w:pPr>
                        <w:rPr>
                          <w:rFonts w:ascii="Titillium" w:hAnsi="Titillium"/>
                          <w:color w:val="00B0F0"/>
                          <w:sz w:val="40"/>
                          <w:szCs w:val="40"/>
                        </w:rPr>
                      </w:pPr>
                      <w:r w:rsidRPr="007B3FF2">
                        <w:rPr>
                          <w:rFonts w:ascii="Titillium" w:hAnsi="Titillium"/>
                          <w:color w:val="00B0F0"/>
                          <w:sz w:val="40"/>
                          <w:szCs w:val="40"/>
                          <w:lang w:val="en-US"/>
                        </w:rPr>
                        <w:t>Press Release</w:t>
                      </w:r>
                    </w:p>
                  </w:txbxContent>
                </v:textbox>
                <w10:wrap type="topAndBottom" anchorx="page" anchory="margin"/>
              </v:shape>
            </w:pict>
          </mc:Fallback>
        </mc:AlternateContent>
      </w:r>
    </w:p>
    <w:p w14:paraId="13BA2898" w14:textId="77777777" w:rsidR="00952E4E" w:rsidRPr="0034688E" w:rsidRDefault="0034688E" w:rsidP="0085309C">
      <w:pPr>
        <w:spacing w:after="0"/>
        <w:rPr>
          <w:rFonts w:ascii="Verdana" w:hAnsi="Verdana"/>
          <w:b/>
          <w:bCs/>
          <w:sz w:val="28"/>
          <w:szCs w:val="28"/>
          <w:lang w:val="en-US"/>
        </w:rPr>
      </w:pPr>
      <w:r w:rsidRPr="0034688E">
        <w:rPr>
          <w:rFonts w:ascii="Verdana" w:hAnsi="Verdana"/>
          <w:b/>
          <w:bCs/>
          <w:sz w:val="28"/>
          <w:szCs w:val="28"/>
          <w:lang w:val="en-US"/>
        </w:rPr>
        <w:t>Digital Twin: more knowledge for more efficient use</w:t>
      </w:r>
    </w:p>
    <w:p w14:paraId="67B41B58" w14:textId="72AFB873" w:rsidR="00952E4E" w:rsidRPr="0034688E" w:rsidRDefault="0034688E" w:rsidP="0085309C">
      <w:pPr>
        <w:spacing w:after="0"/>
        <w:rPr>
          <w:rFonts w:ascii="Verdana" w:hAnsi="Verdana"/>
          <w:b/>
          <w:bCs/>
          <w:sz w:val="20"/>
          <w:szCs w:val="20"/>
          <w:lang w:val="en-US"/>
        </w:rPr>
      </w:pPr>
      <w:r w:rsidRPr="0034688E">
        <w:rPr>
          <w:rFonts w:ascii="Verdana" w:hAnsi="Verdana"/>
          <w:b/>
          <w:bCs/>
          <w:sz w:val="20"/>
          <w:szCs w:val="20"/>
          <w:lang w:val="en-US"/>
        </w:rPr>
        <w:t>Data-centered engineering makes work of operators and contractors easier</w:t>
      </w:r>
    </w:p>
    <w:p w14:paraId="0389EDCB" w14:textId="77777777" w:rsidR="00F11AB0" w:rsidRPr="0034688E" w:rsidRDefault="00F11AB0" w:rsidP="0085309C">
      <w:pPr>
        <w:spacing w:after="0"/>
        <w:rPr>
          <w:rFonts w:ascii="Verdana" w:hAnsi="Verdana"/>
          <w:b/>
          <w:bCs/>
          <w:sz w:val="18"/>
          <w:szCs w:val="18"/>
          <w:lang w:val="en-US"/>
        </w:rPr>
      </w:pPr>
    </w:p>
    <w:p w14:paraId="5D742AA9" w14:textId="77777777" w:rsidR="000B0FB9" w:rsidRPr="0034688E" w:rsidRDefault="0034688E" w:rsidP="009E3D07">
      <w:pPr>
        <w:spacing w:after="0" w:line="264" w:lineRule="auto"/>
        <w:rPr>
          <w:rFonts w:ascii="Verdana" w:hAnsi="Verdana"/>
          <w:bCs/>
          <w:sz w:val="18"/>
          <w:szCs w:val="18"/>
          <w:lang w:val="en-US"/>
        </w:rPr>
      </w:pPr>
      <w:r w:rsidRPr="0034688E">
        <w:rPr>
          <w:rFonts w:ascii="Verdana" w:hAnsi="Verdana"/>
          <w:bCs/>
          <w:sz w:val="18"/>
          <w:szCs w:val="18"/>
          <w:lang w:val="en-US"/>
        </w:rPr>
        <w:t>Aucotec AG, a developer of engineering software since 1985, is presenting two new concepts at ACHEMA 22: one will make it much easier for plant operators and their contractors to communicate and transfer data and documents in the future. The second creates a new level of provision and use of data on all relevant assets. Both solutions are based on the cooperative platform Engineering Base (EB).</w:t>
      </w:r>
    </w:p>
    <w:p w14:paraId="4C956BC9" w14:textId="77777777" w:rsidR="00A46563" w:rsidRPr="0034688E" w:rsidRDefault="00A46563" w:rsidP="009E3D07">
      <w:pPr>
        <w:spacing w:after="0" w:line="264" w:lineRule="auto"/>
        <w:rPr>
          <w:rFonts w:ascii="Verdana" w:hAnsi="Verdana"/>
          <w:bCs/>
          <w:sz w:val="18"/>
          <w:szCs w:val="18"/>
          <w:lang w:val="en-US"/>
        </w:rPr>
      </w:pPr>
    </w:p>
    <w:p w14:paraId="1B54E86C" w14:textId="77777777" w:rsidR="00A50B58" w:rsidRPr="0034688E" w:rsidRDefault="0034688E" w:rsidP="00AF73C8">
      <w:pPr>
        <w:spacing w:after="0" w:line="264" w:lineRule="auto"/>
        <w:rPr>
          <w:rFonts w:ascii="Verdana" w:hAnsi="Verdana"/>
          <w:b/>
          <w:bCs/>
          <w:sz w:val="18"/>
          <w:szCs w:val="18"/>
          <w:lang w:val="en-US"/>
        </w:rPr>
      </w:pPr>
      <w:r w:rsidRPr="0034688E">
        <w:rPr>
          <w:rFonts w:ascii="Verdana" w:hAnsi="Verdana"/>
          <w:bCs/>
          <w:sz w:val="18"/>
          <w:szCs w:val="18"/>
          <w:lang w:val="en-US"/>
        </w:rPr>
        <w:t xml:space="preserve">Operators thus achieve greater efficiency in building the digital twin while gaining more intelligence for its use. For example, the digital twin in EB, which is exceptionally comprehensive due to cross-discipline data </w:t>
      </w:r>
      <w:proofErr w:type="spellStart"/>
      <w:r w:rsidRPr="0034688E">
        <w:rPr>
          <w:rFonts w:ascii="Verdana" w:hAnsi="Verdana"/>
          <w:bCs/>
          <w:sz w:val="18"/>
          <w:szCs w:val="18"/>
          <w:lang w:val="en-US"/>
        </w:rPr>
        <w:t>centring</w:t>
      </w:r>
      <w:proofErr w:type="spellEnd"/>
      <w:r w:rsidRPr="0034688E">
        <w:rPr>
          <w:rFonts w:ascii="Verdana" w:hAnsi="Verdana"/>
          <w:bCs/>
          <w:sz w:val="18"/>
          <w:szCs w:val="18"/>
          <w:lang w:val="en-US"/>
        </w:rPr>
        <w:t>, speeds up maintenance and rebuilds. ACHEMA visitors can already take a look at this future at the Aucotec stand.</w:t>
      </w:r>
    </w:p>
    <w:p w14:paraId="23652804" w14:textId="77777777" w:rsidR="00A50B58" w:rsidRPr="0034688E" w:rsidRDefault="00A50B58" w:rsidP="00AF73C8">
      <w:pPr>
        <w:spacing w:after="0" w:line="264" w:lineRule="auto"/>
        <w:rPr>
          <w:rFonts w:ascii="Verdana" w:hAnsi="Verdana"/>
          <w:bCs/>
          <w:sz w:val="18"/>
          <w:szCs w:val="18"/>
          <w:lang w:val="en-US"/>
        </w:rPr>
      </w:pPr>
    </w:p>
    <w:p w14:paraId="7ABCDE71" w14:textId="77777777" w:rsidR="00A50B58" w:rsidRPr="0034688E" w:rsidRDefault="0034688E" w:rsidP="00A50B58">
      <w:pPr>
        <w:spacing w:after="0" w:line="264" w:lineRule="auto"/>
        <w:rPr>
          <w:rFonts w:ascii="Verdana" w:hAnsi="Verdana"/>
          <w:b/>
          <w:sz w:val="18"/>
          <w:szCs w:val="18"/>
          <w:lang w:val="en-US"/>
        </w:rPr>
      </w:pPr>
      <w:r w:rsidRPr="0034688E">
        <w:rPr>
          <w:rFonts w:ascii="Verdana" w:hAnsi="Verdana"/>
          <w:b/>
          <w:sz w:val="18"/>
          <w:szCs w:val="18"/>
          <w:lang w:val="en-US"/>
        </w:rPr>
        <w:t>ET supports IT and OT</w:t>
      </w:r>
    </w:p>
    <w:p w14:paraId="3AAE8FB6" w14:textId="77777777" w:rsidR="00B94076" w:rsidRPr="0034688E" w:rsidRDefault="0034688E" w:rsidP="00A50B58">
      <w:pPr>
        <w:spacing w:after="0" w:line="264" w:lineRule="auto"/>
        <w:rPr>
          <w:rFonts w:ascii="Verdana" w:hAnsi="Verdana"/>
          <w:bCs/>
          <w:sz w:val="18"/>
          <w:szCs w:val="18"/>
          <w:lang w:val="en-US"/>
        </w:rPr>
      </w:pPr>
      <w:r w:rsidRPr="0034688E">
        <w:rPr>
          <w:rFonts w:ascii="Verdana" w:hAnsi="Verdana"/>
          <w:bCs/>
          <w:sz w:val="18"/>
          <w:szCs w:val="18"/>
          <w:lang w:val="en-US"/>
        </w:rPr>
        <w:t>The new "EB Alliance" for more efficient communication will include two topics: seamless data exchange between operators and suppliers who have each set up their own environments for "their" EB, and the outsourcing and consistent reintegration of the digital twin of rebuild projects of a running plant, no matter how complex.</w:t>
      </w:r>
    </w:p>
    <w:p w14:paraId="55CBF9EE" w14:textId="77777777" w:rsidR="00B94076" w:rsidRPr="0034688E" w:rsidRDefault="00B94076" w:rsidP="00A50B58">
      <w:pPr>
        <w:spacing w:after="0" w:line="264" w:lineRule="auto"/>
        <w:rPr>
          <w:rFonts w:ascii="Verdana" w:hAnsi="Verdana"/>
          <w:bCs/>
          <w:sz w:val="18"/>
          <w:szCs w:val="18"/>
          <w:lang w:val="en-US"/>
        </w:rPr>
      </w:pPr>
    </w:p>
    <w:p w14:paraId="0D3FFDE0" w14:textId="77777777" w:rsidR="00A50B58" w:rsidRPr="0034688E" w:rsidRDefault="0034688E" w:rsidP="00A50B58">
      <w:pPr>
        <w:spacing w:after="0" w:line="264" w:lineRule="auto"/>
        <w:rPr>
          <w:rFonts w:ascii="Verdana" w:hAnsi="Verdana"/>
          <w:bCs/>
          <w:sz w:val="18"/>
          <w:szCs w:val="18"/>
          <w:lang w:val="en-US"/>
        </w:rPr>
      </w:pPr>
      <w:r w:rsidRPr="0034688E">
        <w:rPr>
          <w:rFonts w:ascii="Verdana" w:hAnsi="Verdana"/>
          <w:bCs/>
          <w:sz w:val="18"/>
          <w:szCs w:val="18"/>
          <w:lang w:val="en-US"/>
        </w:rPr>
        <w:t xml:space="preserve">"Sharing data from different parties using the same system is usually complicated by the fact that they use different versions and configurations. All that will change in the future," explains </w:t>
      </w:r>
      <w:proofErr w:type="spellStart"/>
      <w:r w:rsidRPr="0034688E">
        <w:rPr>
          <w:rFonts w:ascii="Verdana" w:hAnsi="Verdana"/>
          <w:bCs/>
          <w:sz w:val="18"/>
          <w:szCs w:val="18"/>
          <w:lang w:val="en-US"/>
        </w:rPr>
        <w:t>Aucotec's</w:t>
      </w:r>
      <w:proofErr w:type="spellEnd"/>
      <w:r w:rsidRPr="0034688E">
        <w:rPr>
          <w:rFonts w:ascii="Verdana" w:hAnsi="Verdana"/>
          <w:bCs/>
          <w:sz w:val="18"/>
          <w:szCs w:val="18"/>
          <w:lang w:val="en-US"/>
        </w:rPr>
        <w:t xml:space="preserve"> senior product manager, Dr. Pouria Bigvand. When importing data from a supplier using EB, EB Alliance will allow all data to be mapped to the configuration state of the recipient, so that errors or misunderstandings do not occur in the first place. And handing over the digital twin of a plant section to be rebuilt or extended, as well as integrating it consistently into the new as-built state once the work is done, will also significantly speed up rebuild projects. "The "Alliance" is intended to further strengthen EB's role in the user companies being, as the authoring system and data repository, THE hub for Engineering Technology (ET) and thus optimally supporting IT and OT," says Bigvand and emphasizes: "Our customers include large operators with over 100 contractors; the new approach also makes the exchange across a whole cascade of suppliers very efficient and clear."</w:t>
      </w:r>
    </w:p>
    <w:p w14:paraId="6AFB28C1" w14:textId="77777777" w:rsidR="00B92A37" w:rsidRPr="0034688E" w:rsidRDefault="00B92A37" w:rsidP="00B92A37">
      <w:pPr>
        <w:spacing w:after="0" w:line="264" w:lineRule="auto"/>
        <w:rPr>
          <w:rFonts w:ascii="Verdana" w:hAnsi="Verdana"/>
          <w:b/>
          <w:bCs/>
          <w:sz w:val="18"/>
          <w:szCs w:val="18"/>
          <w:lang w:val="en-US"/>
        </w:rPr>
      </w:pPr>
    </w:p>
    <w:p w14:paraId="40575EA9" w14:textId="77777777" w:rsidR="00B92A37" w:rsidRPr="0034688E" w:rsidRDefault="0034688E" w:rsidP="00B92A37">
      <w:pPr>
        <w:spacing w:after="0" w:line="264" w:lineRule="auto"/>
        <w:rPr>
          <w:rFonts w:ascii="Verdana" w:hAnsi="Verdana"/>
          <w:b/>
          <w:bCs/>
          <w:sz w:val="18"/>
          <w:szCs w:val="18"/>
          <w:lang w:val="en-US"/>
        </w:rPr>
      </w:pPr>
      <w:r w:rsidRPr="0034688E">
        <w:rPr>
          <w:rFonts w:ascii="Verdana" w:hAnsi="Verdana"/>
          <w:b/>
          <w:bCs/>
          <w:sz w:val="20"/>
          <w:szCs w:val="20"/>
          <w:lang w:val="en-US"/>
        </w:rPr>
        <w:t xml:space="preserve">Cross-discipline </w:t>
      </w:r>
      <w:r w:rsidRPr="0034688E">
        <w:rPr>
          <w:rFonts w:ascii="Verdana" w:hAnsi="Verdana"/>
          <w:b/>
          <w:bCs/>
          <w:sz w:val="18"/>
          <w:szCs w:val="18"/>
          <w:lang w:val="en-US"/>
        </w:rPr>
        <w:t>plant knowledge speeds up maintenance</w:t>
      </w:r>
    </w:p>
    <w:p w14:paraId="72D75E9F" w14:textId="77777777" w:rsidR="00B92A37" w:rsidRPr="0034688E" w:rsidRDefault="0034688E" w:rsidP="00B92A37">
      <w:pPr>
        <w:spacing w:after="0" w:line="264" w:lineRule="auto"/>
        <w:rPr>
          <w:rFonts w:ascii="Verdana" w:hAnsi="Verdana"/>
          <w:bCs/>
          <w:sz w:val="18"/>
          <w:szCs w:val="18"/>
          <w:lang w:val="en-US"/>
        </w:rPr>
      </w:pPr>
      <w:r w:rsidRPr="0034688E">
        <w:rPr>
          <w:rFonts w:ascii="Verdana" w:hAnsi="Verdana"/>
          <w:bCs/>
          <w:sz w:val="18"/>
          <w:szCs w:val="18"/>
          <w:lang w:val="en-US"/>
        </w:rPr>
        <w:t>The second concept includes a comprehensive navigation solution that shows operators all the interrelationships of an asset in an instant. The digital twin in EB is much more detailed and intelligent than any information that document-based systems can provide for plant maintenance. Where previously only the main assets with their properties were known, EB's digital plant model also knows all the subordinate objects down to every nozzle in the process area, every terminal connection in the electrical system and every signal in the automation system. Even more important, however, according to the product manager, is that the complete object dependencies for these objects are also modelled.</w:t>
      </w:r>
    </w:p>
    <w:p w14:paraId="4B55E2D0" w14:textId="77777777" w:rsidR="00B92A37" w:rsidRPr="0034688E" w:rsidRDefault="00B92A37" w:rsidP="00B92A37">
      <w:pPr>
        <w:spacing w:after="0" w:line="264" w:lineRule="auto"/>
        <w:rPr>
          <w:rFonts w:ascii="Verdana" w:hAnsi="Verdana"/>
          <w:bCs/>
          <w:sz w:val="18"/>
          <w:szCs w:val="18"/>
          <w:lang w:val="en-US"/>
        </w:rPr>
      </w:pPr>
    </w:p>
    <w:p w14:paraId="38EB1284" w14:textId="77777777" w:rsidR="002C19C8" w:rsidRPr="0034688E" w:rsidRDefault="0034688E" w:rsidP="00B92A37">
      <w:pPr>
        <w:spacing w:after="0" w:line="264" w:lineRule="auto"/>
        <w:rPr>
          <w:rFonts w:ascii="Verdana" w:hAnsi="Verdana"/>
          <w:bCs/>
          <w:sz w:val="18"/>
          <w:szCs w:val="18"/>
          <w:lang w:val="en-US"/>
        </w:rPr>
      </w:pPr>
      <w:r w:rsidRPr="0034688E">
        <w:rPr>
          <w:rFonts w:ascii="Verdana" w:hAnsi="Verdana"/>
          <w:bCs/>
          <w:sz w:val="18"/>
          <w:szCs w:val="18"/>
          <w:lang w:val="en-US"/>
        </w:rPr>
        <w:t>"The solution that Aucotec is currently developing on this comprehensive basis will make it possible in a unique way to have an overview of all interrelationships across all engineering disciplines in the shortest possible time during operation," he explains. For example, from an alarm signal via the automation system to the field to the sensor, from there via the pipeline to the affected valve, back to its control and so on. For the plant, this means that maintenance preparation can be significantly optimized and downtimes can be minimized or even completely avoided in the event of a malfunction. "This means that any investment in the digital twin pays off many times over," says Pouria Bigvand.</w:t>
      </w:r>
    </w:p>
    <w:p w14:paraId="2D321A56" w14:textId="10F95338" w:rsidR="00FB620F" w:rsidRPr="0034688E" w:rsidRDefault="00FB620F" w:rsidP="009E3D07">
      <w:pPr>
        <w:spacing w:after="0" w:line="264" w:lineRule="auto"/>
        <w:rPr>
          <w:rFonts w:ascii="Verdana" w:hAnsi="Verdana"/>
          <w:b/>
          <w:sz w:val="18"/>
          <w:szCs w:val="18"/>
          <w:lang w:val="en-US"/>
        </w:rPr>
      </w:pPr>
    </w:p>
    <w:p w14:paraId="47FA5021" w14:textId="77777777" w:rsidR="0034688E" w:rsidRPr="0034688E" w:rsidRDefault="0034688E" w:rsidP="009E3D07">
      <w:pPr>
        <w:spacing w:after="0" w:line="264" w:lineRule="auto"/>
        <w:rPr>
          <w:rFonts w:ascii="Verdana" w:hAnsi="Verdana"/>
          <w:b/>
          <w:sz w:val="18"/>
          <w:szCs w:val="18"/>
          <w:lang w:val="en-US"/>
        </w:rPr>
      </w:pPr>
    </w:p>
    <w:p w14:paraId="76291A8C" w14:textId="77777777" w:rsidR="006E2360" w:rsidRPr="0034688E" w:rsidRDefault="0034688E" w:rsidP="009E3D07">
      <w:pPr>
        <w:spacing w:after="0" w:line="264" w:lineRule="auto"/>
        <w:rPr>
          <w:rFonts w:ascii="Verdana" w:hAnsi="Verdana"/>
          <w:b/>
          <w:sz w:val="18"/>
          <w:szCs w:val="18"/>
          <w:lang w:val="en-US"/>
        </w:rPr>
      </w:pPr>
      <w:r w:rsidRPr="0034688E">
        <w:rPr>
          <w:rFonts w:ascii="Verdana" w:hAnsi="Verdana"/>
          <w:b/>
          <w:sz w:val="18"/>
          <w:szCs w:val="18"/>
          <w:lang w:val="en-US"/>
        </w:rPr>
        <w:lastRenderedPageBreak/>
        <w:t xml:space="preserve">Aucotec at ACHEMA 2022: </w:t>
      </w:r>
      <w:r w:rsidRPr="0034688E">
        <w:rPr>
          <w:rFonts w:ascii="Verdana" w:hAnsi="Verdana"/>
          <w:bCs/>
          <w:sz w:val="18"/>
          <w:szCs w:val="18"/>
          <w:lang w:val="en-US"/>
        </w:rPr>
        <w:t>Hall 9.1, Stand No. B 4 and Hall 11.0, Stand C 51</w:t>
      </w:r>
    </w:p>
    <w:p w14:paraId="21EC6DBD" w14:textId="77777777" w:rsidR="00CF2546" w:rsidRPr="0034688E" w:rsidRDefault="00CF2546" w:rsidP="009E3D07">
      <w:pPr>
        <w:spacing w:after="0" w:line="264" w:lineRule="auto"/>
        <w:rPr>
          <w:rFonts w:ascii="Verdana" w:hAnsi="Verdana"/>
          <w:b/>
          <w:sz w:val="18"/>
          <w:szCs w:val="18"/>
          <w:lang w:val="en-US"/>
        </w:rPr>
      </w:pPr>
    </w:p>
    <w:p w14:paraId="063AAF53" w14:textId="77777777" w:rsidR="00B911C0" w:rsidRPr="0034688E" w:rsidRDefault="0034688E" w:rsidP="00B911C0">
      <w:pPr>
        <w:spacing w:after="0" w:line="240" w:lineRule="auto"/>
        <w:rPr>
          <w:rFonts w:ascii="Verdana" w:hAnsi="Verdana"/>
          <w:b/>
          <w:sz w:val="18"/>
          <w:szCs w:val="18"/>
          <w:lang w:val="en-US"/>
        </w:rPr>
      </w:pPr>
      <w:r w:rsidRPr="0034688E">
        <w:rPr>
          <w:rFonts w:ascii="Verdana" w:hAnsi="Verdana"/>
          <w:b/>
          <w:sz w:val="18"/>
          <w:szCs w:val="18"/>
          <w:lang w:val="en-US"/>
        </w:rPr>
        <w:t>Links to images*:</w:t>
      </w:r>
    </w:p>
    <w:p w14:paraId="1464B775" w14:textId="77777777" w:rsidR="00CF2546" w:rsidRPr="0034688E" w:rsidRDefault="00CF2546" w:rsidP="009E3D07">
      <w:pPr>
        <w:spacing w:after="0" w:line="264" w:lineRule="auto"/>
        <w:rPr>
          <w:rFonts w:ascii="Verdana" w:hAnsi="Verdana"/>
          <w:b/>
          <w:sz w:val="18"/>
          <w:szCs w:val="18"/>
          <w:lang w:val="en-US"/>
        </w:rPr>
      </w:pPr>
    </w:p>
    <w:p w14:paraId="54360115" w14:textId="77777777" w:rsidR="00124C67" w:rsidRDefault="00124C67" w:rsidP="00124C67">
      <w:pPr>
        <w:spacing w:after="0" w:line="240" w:lineRule="auto"/>
        <w:rPr>
          <w:rFonts w:ascii="Verdana" w:hAnsi="Verdana"/>
          <w:color w:val="FF0000"/>
          <w:sz w:val="16"/>
          <w:szCs w:val="16"/>
        </w:rPr>
      </w:pPr>
      <w:r>
        <w:rPr>
          <w:rFonts w:ascii="Verdana" w:hAnsi="Verdana"/>
          <w:noProof/>
          <w:color w:val="FF0000"/>
          <w:sz w:val="16"/>
          <w:szCs w:val="16"/>
        </w:rPr>
        <w:drawing>
          <wp:inline distT="0" distB="0" distL="0" distR="0" wp14:anchorId="0ADB258E" wp14:editId="143C737C">
            <wp:extent cx="1427887" cy="733425"/>
            <wp:effectExtent l="0" t="0" r="127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968" cy="738089"/>
                    </a:xfrm>
                    <a:prstGeom prst="rect">
                      <a:avLst/>
                    </a:prstGeom>
                    <a:noFill/>
                    <a:ln>
                      <a:noFill/>
                    </a:ln>
                  </pic:spPr>
                </pic:pic>
              </a:graphicData>
            </a:graphic>
          </wp:inline>
        </w:drawing>
      </w:r>
    </w:p>
    <w:p w14:paraId="57E25B15" w14:textId="620A30A5" w:rsidR="00CF2546" w:rsidRPr="004D376E" w:rsidRDefault="00124C67" w:rsidP="00124C67">
      <w:pPr>
        <w:spacing w:after="0" w:line="240" w:lineRule="auto"/>
        <w:rPr>
          <w:rFonts w:ascii="Verdana" w:hAnsi="Verdana"/>
          <w:color w:val="000000"/>
          <w:sz w:val="16"/>
          <w:szCs w:val="16"/>
          <w:lang w:val="en-US"/>
        </w:rPr>
      </w:pPr>
      <w:r>
        <w:rPr>
          <w:rFonts w:ascii="Verdana" w:hAnsi="Verdana"/>
          <w:color w:val="000000"/>
          <w:sz w:val="16"/>
          <w:szCs w:val="16"/>
          <w:lang w:val="en-US"/>
        </w:rPr>
        <w:t>With</w:t>
      </w:r>
      <w:r w:rsidRPr="00124C67">
        <w:rPr>
          <w:rFonts w:ascii="Verdana" w:hAnsi="Verdana"/>
          <w:color w:val="000000"/>
          <w:sz w:val="16"/>
          <w:szCs w:val="16"/>
          <w:lang w:val="en-US"/>
        </w:rPr>
        <w:t xml:space="preserve"> </w:t>
      </w:r>
      <w:hyperlink r:id="rId12" w:history="1">
        <w:r w:rsidRPr="00124C67">
          <w:rPr>
            <w:rStyle w:val="Hyperlink"/>
            <w:rFonts w:ascii="Verdana" w:hAnsi="Verdana" w:cstheme="minorBidi"/>
            <w:sz w:val="16"/>
            <w:szCs w:val="16"/>
            <w:lang w:val="en-US"/>
          </w:rPr>
          <w:t>EB Alliance</w:t>
        </w:r>
      </w:hyperlink>
      <w:r w:rsidR="0034688E" w:rsidRPr="0034688E">
        <w:rPr>
          <w:rFonts w:ascii="Verdana" w:hAnsi="Verdana"/>
          <w:color w:val="000000"/>
          <w:sz w:val="16"/>
          <w:szCs w:val="16"/>
          <w:lang w:val="en-US"/>
        </w:rPr>
        <w:t xml:space="preserve"> through the life of the plant: from the digital original to the always up-to-date digital twin with simple data transfers and consistent data integration after maintenance and retrofitting</w:t>
      </w:r>
      <w:r w:rsidR="004D376E">
        <w:rPr>
          <w:rFonts w:ascii="Verdana" w:hAnsi="Verdana"/>
          <w:color w:val="000000"/>
          <w:sz w:val="16"/>
          <w:szCs w:val="16"/>
          <w:lang w:val="en-US"/>
        </w:rPr>
        <w:t xml:space="preserve"> </w:t>
      </w:r>
      <w:r w:rsidR="004D376E" w:rsidRPr="004D376E">
        <w:rPr>
          <w:rFonts w:ascii="Verdana" w:hAnsi="Verdana" w:cs="Draeger San"/>
          <w:color w:val="000000"/>
          <w:sz w:val="16"/>
          <w:szCs w:val="16"/>
          <w:lang w:val="en-US"/>
        </w:rPr>
        <w:t>(Image: AUCOTEC AG)</w:t>
      </w:r>
    </w:p>
    <w:p w14:paraId="21CD06FA" w14:textId="77777777" w:rsidR="00FE3945" w:rsidRPr="004D376E" w:rsidRDefault="00FE3945" w:rsidP="00C46BA4">
      <w:pPr>
        <w:spacing w:after="0" w:line="240" w:lineRule="auto"/>
        <w:rPr>
          <w:rFonts w:ascii="Verdana" w:hAnsi="Verdana"/>
          <w:color w:val="000000"/>
          <w:sz w:val="16"/>
          <w:szCs w:val="16"/>
          <w:lang w:val="en-US"/>
        </w:rPr>
      </w:pPr>
    </w:p>
    <w:p w14:paraId="51917033" w14:textId="77777777" w:rsidR="00FE3945" w:rsidRPr="0034688E" w:rsidRDefault="00FE3945" w:rsidP="00C46BA4">
      <w:pPr>
        <w:spacing w:after="0" w:line="240" w:lineRule="auto"/>
        <w:rPr>
          <w:rFonts w:ascii="Verdana" w:hAnsi="Verdana"/>
          <w:color w:val="000000"/>
          <w:sz w:val="16"/>
          <w:szCs w:val="16"/>
          <w:lang w:val="en-US"/>
        </w:rPr>
      </w:pPr>
    </w:p>
    <w:p w14:paraId="538A2407" w14:textId="77777777" w:rsidR="009179A2" w:rsidRPr="0034688E" w:rsidRDefault="0034688E" w:rsidP="00C46BA4">
      <w:pPr>
        <w:spacing w:after="0" w:line="240" w:lineRule="auto"/>
        <w:rPr>
          <w:rFonts w:ascii="Verdana" w:hAnsi="Verdana"/>
          <w:color w:val="000000"/>
          <w:sz w:val="16"/>
          <w:szCs w:val="16"/>
          <w:lang w:val="en-US"/>
        </w:rPr>
      </w:pPr>
      <w:r w:rsidRPr="0034688E">
        <w:rPr>
          <w:noProof/>
          <w:lang w:val="en-US"/>
        </w:rPr>
        <w:drawing>
          <wp:inline distT="0" distB="0" distL="0" distR="0" wp14:anchorId="0089F230" wp14:editId="471CDF06">
            <wp:extent cx="1533802" cy="757555"/>
            <wp:effectExtent l="0" t="0" r="9525" b="4445"/>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35584" name="Grafik 11">
                      <a:hlinkClick r:id="rId13"/>
                    </pic:cNvPr>
                    <pic:cNvPicPr>
                      <a:picLocks noChangeAspect="1" noChangeArrowheads="1"/>
                    </pic:cNvPicPr>
                  </pic:nvPicPr>
                  <pic:blipFill>
                    <a:blip r:embed="rId14" cstate="screen">
                      <a:extLst>
                        <a:ext uri="{28A0092B-C50C-407E-A947-70E740481C1C}">
                          <a14:useLocalDpi xmlns:a14="http://schemas.microsoft.com/office/drawing/2010/main" val="0"/>
                        </a:ext>
                      </a:extLst>
                    </a:blip>
                    <a:stretch>
                      <a:fillRect/>
                    </a:stretch>
                  </pic:blipFill>
                  <pic:spPr bwMode="auto">
                    <a:xfrm>
                      <a:off x="0" y="0"/>
                      <a:ext cx="1548226" cy="764679"/>
                    </a:xfrm>
                    <a:prstGeom prst="rect">
                      <a:avLst/>
                    </a:prstGeom>
                    <a:noFill/>
                    <a:ln>
                      <a:noFill/>
                    </a:ln>
                  </pic:spPr>
                </pic:pic>
              </a:graphicData>
            </a:graphic>
          </wp:inline>
        </w:drawing>
      </w:r>
    </w:p>
    <w:p w14:paraId="7594EFAA" w14:textId="5DA523B6" w:rsidR="00FE3945" w:rsidRPr="0034688E" w:rsidRDefault="004D376E" w:rsidP="00C46BA4">
      <w:pPr>
        <w:spacing w:after="0" w:line="240" w:lineRule="auto"/>
        <w:rPr>
          <w:rFonts w:ascii="Verdana" w:hAnsi="Verdana"/>
          <w:b/>
          <w:sz w:val="16"/>
          <w:szCs w:val="16"/>
          <w:lang w:val="en-US"/>
        </w:rPr>
      </w:pPr>
      <w:hyperlink r:id="rId15" w:history="1">
        <w:r w:rsidR="0034688E" w:rsidRPr="0034688E">
          <w:rPr>
            <w:rStyle w:val="Hyperlink"/>
            <w:rFonts w:ascii="Verdana" w:hAnsi="Verdana" w:cstheme="minorBidi"/>
            <w:sz w:val="16"/>
            <w:szCs w:val="16"/>
            <w:lang w:val="en-US"/>
          </w:rPr>
          <w:t>Data flow with EB Alliance</w:t>
        </w:r>
      </w:hyperlink>
      <w:r w:rsidR="0034688E" w:rsidRPr="0034688E">
        <w:rPr>
          <w:rFonts w:ascii="Verdana" w:hAnsi="Verdana"/>
          <w:color w:val="000000"/>
          <w:sz w:val="16"/>
          <w:szCs w:val="16"/>
          <w:lang w:val="en-US"/>
        </w:rPr>
        <w:t>: consistent exchange of operators and contractors from engineering to the digital twin in operation</w:t>
      </w:r>
      <w:r>
        <w:rPr>
          <w:rFonts w:ascii="Verdana" w:hAnsi="Verdana"/>
          <w:color w:val="000000"/>
          <w:sz w:val="16"/>
          <w:szCs w:val="16"/>
          <w:lang w:val="en-US"/>
        </w:rPr>
        <w:t xml:space="preserve"> </w:t>
      </w:r>
      <w:r w:rsidRPr="004D376E">
        <w:rPr>
          <w:rFonts w:ascii="Verdana" w:hAnsi="Verdana" w:cs="Draeger San"/>
          <w:color w:val="000000"/>
          <w:sz w:val="16"/>
          <w:szCs w:val="16"/>
          <w:lang w:val="en-US"/>
        </w:rPr>
        <w:t>(Image: AUCOTEC AG)</w:t>
      </w:r>
    </w:p>
    <w:p w14:paraId="6DBB45C4" w14:textId="77777777" w:rsidR="00CF2546" w:rsidRPr="0034688E" w:rsidRDefault="00CF2546" w:rsidP="00C46BA4">
      <w:pPr>
        <w:spacing w:after="0" w:line="240" w:lineRule="auto"/>
        <w:rPr>
          <w:rFonts w:ascii="Verdana" w:hAnsi="Verdana"/>
          <w:b/>
          <w:sz w:val="16"/>
          <w:szCs w:val="16"/>
          <w:lang w:val="en-US"/>
        </w:rPr>
      </w:pPr>
    </w:p>
    <w:p w14:paraId="44705788" w14:textId="77777777" w:rsidR="00CF2546" w:rsidRPr="0034688E" w:rsidRDefault="00CF2546" w:rsidP="00C46BA4">
      <w:pPr>
        <w:spacing w:after="0" w:line="240" w:lineRule="auto"/>
        <w:rPr>
          <w:rFonts w:ascii="Verdana" w:hAnsi="Verdana"/>
          <w:b/>
          <w:sz w:val="18"/>
          <w:szCs w:val="18"/>
          <w:lang w:val="en-US"/>
        </w:rPr>
      </w:pPr>
    </w:p>
    <w:p w14:paraId="24DAC277" w14:textId="77777777" w:rsidR="00C22509" w:rsidRPr="0034688E" w:rsidRDefault="0034688E" w:rsidP="00C22509">
      <w:pPr>
        <w:spacing w:after="0" w:line="240" w:lineRule="auto"/>
        <w:rPr>
          <w:rFonts w:ascii="Verdana" w:hAnsi="Verdana"/>
          <w:sz w:val="16"/>
          <w:szCs w:val="16"/>
          <w:lang w:val="en-US"/>
        </w:rPr>
      </w:pPr>
      <w:r w:rsidRPr="0034688E">
        <w:rPr>
          <w:noProof/>
          <w:lang w:val="en-US"/>
        </w:rPr>
        <w:drawing>
          <wp:inline distT="0" distB="0" distL="0" distR="0" wp14:anchorId="39A4BCE0" wp14:editId="7FEEBE8E">
            <wp:extent cx="781050" cy="959905"/>
            <wp:effectExtent l="0" t="0" r="0" b="0"/>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59237" name="Grafik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95948" cy="978214"/>
                    </a:xfrm>
                    <a:prstGeom prst="rect">
                      <a:avLst/>
                    </a:prstGeom>
                    <a:noFill/>
                    <a:ln>
                      <a:noFill/>
                    </a:ln>
                  </pic:spPr>
                </pic:pic>
              </a:graphicData>
            </a:graphic>
          </wp:inline>
        </w:drawing>
      </w:r>
    </w:p>
    <w:p w14:paraId="776322B3" w14:textId="77777777" w:rsidR="00C22509" w:rsidRPr="0034688E" w:rsidRDefault="00C22509" w:rsidP="00C22509">
      <w:pPr>
        <w:spacing w:after="0" w:line="240" w:lineRule="auto"/>
        <w:rPr>
          <w:rFonts w:ascii="Verdana" w:hAnsi="Verdana"/>
          <w:sz w:val="16"/>
          <w:szCs w:val="16"/>
          <w:lang w:val="en-US"/>
        </w:rPr>
      </w:pPr>
    </w:p>
    <w:p w14:paraId="31371434" w14:textId="6F804488" w:rsidR="008B7DAD" w:rsidRPr="0034688E" w:rsidRDefault="004D376E" w:rsidP="00C22509">
      <w:pPr>
        <w:spacing w:after="0" w:line="240" w:lineRule="auto"/>
        <w:rPr>
          <w:rFonts w:ascii="Verdana" w:hAnsi="Verdana"/>
          <w:bCs/>
          <w:i/>
          <w:iCs/>
          <w:sz w:val="16"/>
          <w:szCs w:val="16"/>
          <w:lang w:val="en-US"/>
        </w:rPr>
      </w:pPr>
      <w:hyperlink r:id="rId18" w:history="1">
        <w:r w:rsidR="00C22509" w:rsidRPr="0034688E">
          <w:rPr>
            <w:rStyle w:val="Hyperlink"/>
            <w:rFonts w:ascii="Verdana" w:hAnsi="Verdana" w:cstheme="minorBidi"/>
            <w:sz w:val="16"/>
            <w:szCs w:val="16"/>
            <w:lang w:val="en-US"/>
          </w:rPr>
          <w:t>Dr. Pouria Bigvand</w:t>
        </w:r>
      </w:hyperlink>
      <w:r w:rsidR="00C22509" w:rsidRPr="0034688E">
        <w:rPr>
          <w:rFonts w:ascii="Verdana" w:hAnsi="Verdana"/>
          <w:sz w:val="16"/>
          <w:szCs w:val="16"/>
          <w:lang w:val="en-US"/>
        </w:rPr>
        <w:t xml:space="preserve">, Head of Product Management at Aucotec: </w:t>
      </w:r>
      <w:r w:rsidR="0034688E" w:rsidRPr="0034688E">
        <w:rPr>
          <w:rFonts w:ascii="Verdana" w:hAnsi="Verdana"/>
          <w:bCs/>
          <w:i/>
          <w:iCs/>
          <w:sz w:val="16"/>
          <w:szCs w:val="16"/>
          <w:lang w:val="en-US"/>
        </w:rPr>
        <w:t>"EB Alliance will further strengthen EB's role to be THE data hub for Engineering Technology (ET), optimally supporting IT and OT."</w:t>
      </w:r>
      <w:r>
        <w:rPr>
          <w:rFonts w:ascii="Verdana" w:hAnsi="Verdana"/>
          <w:bCs/>
          <w:i/>
          <w:iCs/>
          <w:sz w:val="16"/>
          <w:szCs w:val="16"/>
          <w:lang w:val="en-US"/>
        </w:rPr>
        <w:t xml:space="preserve"> </w:t>
      </w:r>
      <w:r w:rsidRPr="004D376E">
        <w:rPr>
          <w:rFonts w:ascii="Verdana" w:hAnsi="Verdana" w:cs="Draeger San"/>
          <w:color w:val="000000"/>
          <w:sz w:val="16"/>
          <w:szCs w:val="16"/>
          <w:lang w:val="en-US"/>
        </w:rPr>
        <w:t>(Image: AUCOTEC AG)</w:t>
      </w:r>
    </w:p>
    <w:p w14:paraId="290EED60" w14:textId="77777777" w:rsidR="008B7DAD" w:rsidRPr="0034688E" w:rsidRDefault="008B7DAD" w:rsidP="00C22509">
      <w:pPr>
        <w:spacing w:after="0" w:line="240" w:lineRule="auto"/>
        <w:rPr>
          <w:rFonts w:ascii="Verdana" w:hAnsi="Verdana"/>
          <w:bCs/>
          <w:i/>
          <w:iCs/>
          <w:sz w:val="16"/>
          <w:szCs w:val="16"/>
          <w:lang w:val="en-US"/>
        </w:rPr>
      </w:pPr>
    </w:p>
    <w:p w14:paraId="13EDFBEC" w14:textId="51AB41C7" w:rsidR="00B911C0" w:rsidRPr="0034688E" w:rsidRDefault="004D376E" w:rsidP="00B911C0">
      <w:pPr>
        <w:spacing w:after="0" w:line="240" w:lineRule="auto"/>
        <w:rPr>
          <w:rFonts w:ascii="Verdana" w:hAnsi="Verdana"/>
          <w:i/>
          <w:iCs/>
          <w:sz w:val="16"/>
          <w:szCs w:val="16"/>
          <w:lang w:val="en-US"/>
        </w:rPr>
      </w:pPr>
      <w:r w:rsidRPr="004D376E">
        <w:rPr>
          <w:rFonts w:ascii="Verdana" w:hAnsi="Verdana"/>
          <w:sz w:val="16"/>
          <w:szCs w:val="16"/>
          <w:lang w:val="en-US"/>
        </w:rPr>
        <w:t>Or:</w:t>
      </w:r>
      <w:r>
        <w:rPr>
          <w:rFonts w:ascii="Verdana" w:hAnsi="Verdana"/>
          <w:i/>
          <w:iCs/>
          <w:sz w:val="16"/>
          <w:szCs w:val="16"/>
          <w:lang w:val="en-US"/>
        </w:rPr>
        <w:t xml:space="preserve"> </w:t>
      </w:r>
      <w:r w:rsidR="0034688E" w:rsidRPr="0034688E">
        <w:rPr>
          <w:rFonts w:ascii="Verdana" w:hAnsi="Verdana"/>
          <w:i/>
          <w:iCs/>
          <w:sz w:val="16"/>
          <w:szCs w:val="16"/>
          <w:lang w:val="en-US"/>
        </w:rPr>
        <w:t>"With efficient data exchange even across a cascade of suppliers, EB Alliance helps the twin stay a twin instead of becoming an 'older' sister with less and less similarity to the plant."</w:t>
      </w:r>
      <w:r>
        <w:rPr>
          <w:rFonts w:ascii="Verdana" w:hAnsi="Verdana"/>
          <w:i/>
          <w:iCs/>
          <w:sz w:val="16"/>
          <w:szCs w:val="16"/>
          <w:lang w:val="en-US"/>
        </w:rPr>
        <w:t xml:space="preserve"> </w:t>
      </w:r>
      <w:r w:rsidR="0034688E" w:rsidRPr="004D376E">
        <w:rPr>
          <w:rFonts w:ascii="Verdana" w:hAnsi="Verdana" w:cs="Draeger San"/>
          <w:color w:val="000000"/>
          <w:sz w:val="16"/>
          <w:szCs w:val="16"/>
          <w:lang w:val="en-US"/>
        </w:rPr>
        <w:t>(Image: AUCOTEC AG)</w:t>
      </w:r>
    </w:p>
    <w:p w14:paraId="2BE64BD3" w14:textId="77777777" w:rsidR="00A63359" w:rsidRPr="0034688E" w:rsidRDefault="00A63359" w:rsidP="00A63359">
      <w:pPr>
        <w:spacing w:after="0" w:line="240" w:lineRule="auto"/>
        <w:rPr>
          <w:rFonts w:ascii="Verdana" w:hAnsi="Verdana"/>
          <w:sz w:val="16"/>
          <w:szCs w:val="16"/>
          <w:lang w:val="en-US"/>
        </w:rPr>
      </w:pPr>
    </w:p>
    <w:p w14:paraId="3CF7B53E" w14:textId="77777777" w:rsidR="00B911C0" w:rsidRPr="0034688E" w:rsidRDefault="00B911C0" w:rsidP="00A63359">
      <w:pPr>
        <w:spacing w:after="0" w:line="240" w:lineRule="auto"/>
        <w:rPr>
          <w:rFonts w:ascii="Verdana" w:hAnsi="Verdana"/>
          <w:sz w:val="16"/>
          <w:szCs w:val="16"/>
          <w:lang w:val="en-US"/>
        </w:rPr>
      </w:pPr>
    </w:p>
    <w:p w14:paraId="05F0F254" w14:textId="77777777" w:rsidR="00A63359" w:rsidRPr="0034688E" w:rsidRDefault="0034688E" w:rsidP="00A63359">
      <w:pPr>
        <w:spacing w:after="0" w:line="240" w:lineRule="auto"/>
        <w:rPr>
          <w:rFonts w:ascii="Verdana" w:hAnsi="Verdana"/>
          <w:sz w:val="16"/>
          <w:szCs w:val="16"/>
          <w:lang w:val="en-US"/>
        </w:rPr>
      </w:pPr>
      <w:r w:rsidRPr="0034688E">
        <w:rPr>
          <w:rFonts w:ascii="Verdana" w:hAnsi="Verdana"/>
          <w:sz w:val="16"/>
          <w:szCs w:val="16"/>
          <w:lang w:val="en-US"/>
        </w:rPr>
        <w:t>*These images are protected by copyright. They may be used for editorial purposes in connection with Aucotec.</w:t>
      </w:r>
    </w:p>
    <w:p w14:paraId="078D3C16" w14:textId="77777777" w:rsidR="00B911C0" w:rsidRPr="0034688E" w:rsidRDefault="00B911C0" w:rsidP="007E32B5">
      <w:pPr>
        <w:spacing w:after="0" w:line="240" w:lineRule="auto"/>
        <w:rPr>
          <w:rFonts w:ascii="Verdana" w:hAnsi="Verdana"/>
          <w:sz w:val="16"/>
          <w:szCs w:val="16"/>
          <w:lang w:val="en-US"/>
        </w:rPr>
      </w:pPr>
    </w:p>
    <w:p w14:paraId="5046DAFA" w14:textId="77777777" w:rsidR="007E32B5" w:rsidRPr="0034688E" w:rsidRDefault="0034688E" w:rsidP="007E32B5">
      <w:pPr>
        <w:spacing w:after="0" w:line="240" w:lineRule="auto"/>
        <w:rPr>
          <w:rFonts w:ascii="Verdana" w:hAnsi="Verdana"/>
          <w:sz w:val="16"/>
          <w:szCs w:val="16"/>
          <w:lang w:val="en-US"/>
        </w:rPr>
      </w:pPr>
      <w:r w:rsidRPr="0034688E">
        <w:rPr>
          <w:rFonts w:ascii="Verdana" w:hAnsi="Verdana"/>
          <w:sz w:val="16"/>
          <w:szCs w:val="16"/>
          <w:lang w:val="en-US"/>
        </w:rPr>
        <w:t>___________________________________________________________________________</w:t>
      </w:r>
    </w:p>
    <w:p w14:paraId="494B917F" w14:textId="77777777" w:rsidR="007E32B5" w:rsidRPr="0034688E" w:rsidRDefault="004D376E" w:rsidP="007E32B5">
      <w:pPr>
        <w:spacing w:after="0" w:line="240" w:lineRule="auto"/>
        <w:rPr>
          <w:rFonts w:ascii="Verdana" w:hAnsi="Verdana"/>
          <w:sz w:val="16"/>
          <w:szCs w:val="16"/>
          <w:lang w:val="en-US"/>
        </w:rPr>
      </w:pPr>
      <w:hyperlink r:id="rId19" w:history="1">
        <w:r w:rsidR="0034688E" w:rsidRPr="0034688E">
          <w:rPr>
            <w:rStyle w:val="Hyperlink"/>
            <w:rFonts w:ascii="Verdana" w:hAnsi="Verdana"/>
            <w:b/>
            <w:sz w:val="16"/>
            <w:szCs w:val="16"/>
            <w:lang w:val="en-US"/>
          </w:rPr>
          <w:t>Aucotec AG</w:t>
        </w:r>
      </w:hyperlink>
      <w:r w:rsidR="0034688E" w:rsidRPr="0034688E">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73198575" w14:textId="77777777" w:rsidR="007E32B5" w:rsidRPr="0034688E" w:rsidRDefault="007E32B5" w:rsidP="007E32B5">
      <w:pPr>
        <w:spacing w:after="0" w:line="240" w:lineRule="auto"/>
        <w:rPr>
          <w:rFonts w:ascii="Verdana" w:hAnsi="Verdana"/>
          <w:sz w:val="16"/>
          <w:szCs w:val="16"/>
          <w:lang w:val="en-US"/>
        </w:rPr>
      </w:pPr>
    </w:p>
    <w:p w14:paraId="3521CEEB" w14:textId="77777777" w:rsidR="007E32B5" w:rsidRPr="0034688E" w:rsidRDefault="007E32B5" w:rsidP="007E32B5">
      <w:pPr>
        <w:spacing w:after="0" w:line="240" w:lineRule="auto"/>
        <w:rPr>
          <w:rFonts w:ascii="Verdana" w:hAnsi="Verdana"/>
          <w:sz w:val="16"/>
          <w:szCs w:val="16"/>
          <w:lang w:val="en-US"/>
        </w:rPr>
      </w:pPr>
    </w:p>
    <w:p w14:paraId="6D0BD91F" w14:textId="77777777" w:rsidR="007E32B5" w:rsidRPr="0034688E" w:rsidRDefault="0034688E" w:rsidP="007E32B5">
      <w:pPr>
        <w:spacing w:after="0" w:line="240" w:lineRule="auto"/>
        <w:rPr>
          <w:lang w:val="en-US"/>
        </w:rPr>
      </w:pPr>
      <w:r w:rsidRPr="0034688E">
        <w:rPr>
          <w:rFonts w:ascii="Verdana" w:hAnsi="Verdana"/>
          <w:sz w:val="16"/>
          <w:szCs w:val="16"/>
          <w:lang w:val="en-US"/>
        </w:rPr>
        <w:t>We would be grateful if you could supply us with a copy of your article. Thank you very much!</w:t>
      </w:r>
    </w:p>
    <w:p w14:paraId="7A956C99" w14:textId="77777777" w:rsidR="007E32B5" w:rsidRPr="0034688E" w:rsidRDefault="007E32B5" w:rsidP="007E32B5">
      <w:pPr>
        <w:spacing w:after="0" w:line="240" w:lineRule="auto"/>
        <w:rPr>
          <w:lang w:val="en-US"/>
        </w:rPr>
      </w:pPr>
    </w:p>
    <w:p w14:paraId="517430FA" w14:textId="77777777" w:rsidR="007E32B5" w:rsidRPr="0034688E" w:rsidRDefault="0034688E" w:rsidP="007E32B5">
      <w:pPr>
        <w:spacing w:after="0" w:line="240" w:lineRule="auto"/>
        <w:rPr>
          <w:rFonts w:ascii="Verdana" w:hAnsi="Verdana"/>
          <w:sz w:val="16"/>
          <w:szCs w:val="16"/>
          <w:lang w:val="en-US"/>
        </w:rPr>
      </w:pPr>
      <w:r w:rsidRPr="0034688E">
        <w:rPr>
          <w:rFonts w:ascii="Verdana" w:hAnsi="Verdana"/>
          <w:b/>
          <w:sz w:val="16"/>
          <w:szCs w:val="16"/>
          <w:lang w:val="en-US"/>
        </w:rPr>
        <w:t>AUCOTEC AG</w:t>
      </w:r>
      <w:r w:rsidRPr="0034688E">
        <w:rPr>
          <w:rFonts w:ascii="Verdana" w:hAnsi="Verdana"/>
          <w:sz w:val="16"/>
          <w:szCs w:val="16"/>
          <w:lang w:val="en-US"/>
        </w:rPr>
        <w:t xml:space="preserve">, </w:t>
      </w:r>
      <w:proofErr w:type="spellStart"/>
      <w:r w:rsidRPr="0034688E">
        <w:rPr>
          <w:rFonts w:ascii="Verdana" w:hAnsi="Verdana"/>
          <w:sz w:val="16"/>
          <w:szCs w:val="16"/>
          <w:lang w:val="en-US"/>
        </w:rPr>
        <w:t>Hannoversche</w:t>
      </w:r>
      <w:proofErr w:type="spellEnd"/>
      <w:r w:rsidRPr="0034688E">
        <w:rPr>
          <w:rFonts w:ascii="Verdana" w:hAnsi="Verdana"/>
          <w:sz w:val="16"/>
          <w:szCs w:val="16"/>
          <w:lang w:val="en-US"/>
        </w:rPr>
        <w:t xml:space="preserve"> </w:t>
      </w:r>
      <w:proofErr w:type="spellStart"/>
      <w:r w:rsidRPr="0034688E">
        <w:rPr>
          <w:rFonts w:ascii="Verdana" w:hAnsi="Verdana"/>
          <w:sz w:val="16"/>
          <w:szCs w:val="16"/>
          <w:lang w:val="en-US"/>
        </w:rPr>
        <w:t>Straße</w:t>
      </w:r>
      <w:proofErr w:type="spellEnd"/>
      <w:r w:rsidRPr="0034688E">
        <w:rPr>
          <w:rFonts w:ascii="Verdana" w:hAnsi="Verdana"/>
          <w:sz w:val="16"/>
          <w:szCs w:val="16"/>
          <w:lang w:val="en-US"/>
        </w:rPr>
        <w:t xml:space="preserve"> 105, 30916 </w:t>
      </w:r>
      <w:proofErr w:type="spellStart"/>
      <w:r w:rsidRPr="0034688E">
        <w:rPr>
          <w:rFonts w:ascii="Verdana" w:hAnsi="Verdana"/>
          <w:sz w:val="16"/>
          <w:szCs w:val="16"/>
          <w:lang w:val="en-US"/>
        </w:rPr>
        <w:t>Isernhagen</w:t>
      </w:r>
      <w:proofErr w:type="spellEnd"/>
      <w:r w:rsidRPr="0034688E">
        <w:rPr>
          <w:rFonts w:ascii="Verdana" w:hAnsi="Verdana"/>
          <w:sz w:val="16"/>
          <w:szCs w:val="16"/>
          <w:lang w:val="en-US"/>
        </w:rPr>
        <w:t xml:space="preserve">, www.aucotec.com </w:t>
      </w:r>
    </w:p>
    <w:p w14:paraId="7187C959" w14:textId="77777777" w:rsidR="007E32B5" w:rsidRPr="0034688E" w:rsidRDefault="0034688E" w:rsidP="007E32B5">
      <w:pPr>
        <w:spacing w:after="0" w:line="240" w:lineRule="auto"/>
        <w:rPr>
          <w:rFonts w:ascii="Verdana" w:hAnsi="Verdana"/>
          <w:sz w:val="18"/>
          <w:szCs w:val="16"/>
          <w:lang w:val="en-US"/>
        </w:rPr>
      </w:pPr>
      <w:r w:rsidRPr="0034688E">
        <w:rPr>
          <w:rFonts w:ascii="Verdana" w:hAnsi="Verdana"/>
          <w:sz w:val="16"/>
          <w:szCs w:val="16"/>
          <w:lang w:val="en-US"/>
        </w:rPr>
        <w:t>Press and Public Relations, Johanna Kiesel</w:t>
      </w:r>
      <w:hyperlink r:id="rId20" w:history="1">
        <w:r w:rsidRPr="0034688E">
          <w:rPr>
            <w:rStyle w:val="Hyperlink"/>
            <w:rFonts w:ascii="Verdana" w:hAnsi="Verdana"/>
            <w:sz w:val="16"/>
            <w:szCs w:val="16"/>
            <w:lang w:val="en-US"/>
          </w:rPr>
          <w:t>(johanna.kiesel@aucotec.com,</w:t>
        </w:r>
      </w:hyperlink>
      <w:r w:rsidRPr="0034688E">
        <w:rPr>
          <w:rFonts w:ascii="Verdana" w:hAnsi="Verdana"/>
          <w:sz w:val="16"/>
          <w:szCs w:val="16"/>
          <w:lang w:val="en-US"/>
        </w:rPr>
        <w:t>+49(0)511-6103186</w:t>
      </w:r>
      <w:r w:rsidRPr="0034688E">
        <w:rPr>
          <w:rFonts w:ascii="Verdana" w:hAnsi="Verdana"/>
          <w:sz w:val="18"/>
          <w:szCs w:val="16"/>
          <w:lang w:val="en-US"/>
        </w:rPr>
        <w:t>)</w:t>
      </w:r>
    </w:p>
    <w:p w14:paraId="01445612" w14:textId="77777777" w:rsidR="007E32B5" w:rsidRPr="0034688E" w:rsidRDefault="007E32B5" w:rsidP="007E32B5">
      <w:pPr>
        <w:spacing w:after="0" w:line="240" w:lineRule="auto"/>
        <w:rPr>
          <w:rFonts w:ascii="Verdana" w:hAnsi="Verdana"/>
          <w:sz w:val="16"/>
          <w:szCs w:val="16"/>
          <w:lang w:val="en-US"/>
        </w:rPr>
      </w:pPr>
    </w:p>
    <w:p w14:paraId="35A69208" w14:textId="77777777" w:rsidR="003C6583" w:rsidRPr="0034688E" w:rsidRDefault="003C6583" w:rsidP="007E32B5">
      <w:pPr>
        <w:spacing w:after="0" w:line="240" w:lineRule="auto"/>
        <w:rPr>
          <w:rFonts w:ascii="Verdana" w:hAnsi="Verdana"/>
          <w:sz w:val="16"/>
          <w:szCs w:val="16"/>
          <w:lang w:val="en-US"/>
        </w:rPr>
      </w:pPr>
    </w:p>
    <w:sectPr w:rsidR="003C6583" w:rsidRPr="0034688E"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9F41" w14:textId="77777777" w:rsidR="003A5362" w:rsidRDefault="0034688E">
      <w:pPr>
        <w:spacing w:after="0" w:line="240" w:lineRule="auto"/>
      </w:pPr>
      <w:r>
        <w:separator/>
      </w:r>
    </w:p>
  </w:endnote>
  <w:endnote w:type="continuationSeparator" w:id="0">
    <w:p w14:paraId="48C66EAA" w14:textId="77777777" w:rsidR="003A5362" w:rsidRDefault="0034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5E1B"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3BBA" w14:textId="77777777" w:rsidR="00DB3364" w:rsidRDefault="0034688E">
    <w:pPr>
      <w:pStyle w:val="Fuzeile"/>
    </w:pPr>
    <w:r>
      <w:rPr>
        <w:noProof/>
        <w:lang w:eastAsia="de-DE"/>
      </w:rPr>
      <mc:AlternateContent>
        <mc:Choice Requires="wps">
          <w:drawing>
            <wp:anchor distT="45720" distB="45720" distL="114300" distR="114300" simplePos="0" relativeHeight="251661312" behindDoc="0" locked="0" layoutInCell="1" allowOverlap="1" wp14:anchorId="1D68AE60" wp14:editId="53F65AF6">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54FC466" w14:textId="77777777" w:rsidR="00DB3364" w:rsidRPr="00254B77" w:rsidRDefault="003468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D68AE6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254FC466" w14:textId="77777777" w:rsidR="00DB3364" w:rsidRPr="00254B77" w:rsidRDefault="003468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2D0C7126" wp14:editId="515D9A3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5C3"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3DFB" w14:textId="77777777" w:rsidR="003A5362" w:rsidRDefault="0034688E">
      <w:pPr>
        <w:spacing w:after="0" w:line="240" w:lineRule="auto"/>
      </w:pPr>
      <w:r>
        <w:separator/>
      </w:r>
    </w:p>
  </w:footnote>
  <w:footnote w:type="continuationSeparator" w:id="0">
    <w:p w14:paraId="2E857B8C" w14:textId="77777777" w:rsidR="003A5362" w:rsidRDefault="0034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B429"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A85" w14:textId="77777777" w:rsidR="00C46BA4" w:rsidRDefault="0034688E">
    <w:pPr>
      <w:pStyle w:val="Kopfzeile"/>
    </w:pPr>
    <w:r>
      <w:rPr>
        <w:noProof/>
      </w:rPr>
      <mc:AlternateContent>
        <mc:Choice Requires="wpg">
          <w:drawing>
            <wp:anchor distT="0" distB="0" distL="114300" distR="114300" simplePos="0" relativeHeight="251663360" behindDoc="0" locked="0" layoutInCell="1" allowOverlap="1" wp14:anchorId="5BE650AD" wp14:editId="2DB1E9F2">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10A5" w14:textId="77777777" w:rsidR="00C46BA4" w:rsidRDefault="0034688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EF220E7" wp14:editId="79E4E72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250958"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62EB"/>
    <w:rsid w:val="00007F89"/>
    <w:rsid w:val="000167FF"/>
    <w:rsid w:val="000177F0"/>
    <w:rsid w:val="00022489"/>
    <w:rsid w:val="00024EF2"/>
    <w:rsid w:val="0003012F"/>
    <w:rsid w:val="0004298D"/>
    <w:rsid w:val="00083A87"/>
    <w:rsid w:val="000B0FB9"/>
    <w:rsid w:val="000B6445"/>
    <w:rsid w:val="000B7C76"/>
    <w:rsid w:val="000D7AEE"/>
    <w:rsid w:val="00101FEB"/>
    <w:rsid w:val="0011323F"/>
    <w:rsid w:val="00124C67"/>
    <w:rsid w:val="0012668A"/>
    <w:rsid w:val="00134C03"/>
    <w:rsid w:val="00162F3F"/>
    <w:rsid w:val="00180AEF"/>
    <w:rsid w:val="00184276"/>
    <w:rsid w:val="001A1400"/>
    <w:rsid w:val="001F2D57"/>
    <w:rsid w:val="002143C8"/>
    <w:rsid w:val="00220369"/>
    <w:rsid w:val="00232697"/>
    <w:rsid w:val="00244F6D"/>
    <w:rsid w:val="00251EC2"/>
    <w:rsid w:val="00254B77"/>
    <w:rsid w:val="00271172"/>
    <w:rsid w:val="00276121"/>
    <w:rsid w:val="002820CC"/>
    <w:rsid w:val="002B2D28"/>
    <w:rsid w:val="002C19C8"/>
    <w:rsid w:val="00307185"/>
    <w:rsid w:val="00317E9B"/>
    <w:rsid w:val="00335631"/>
    <w:rsid w:val="00342F31"/>
    <w:rsid w:val="0034688E"/>
    <w:rsid w:val="00353DD8"/>
    <w:rsid w:val="00376939"/>
    <w:rsid w:val="003857CE"/>
    <w:rsid w:val="0038777B"/>
    <w:rsid w:val="00390093"/>
    <w:rsid w:val="00397994"/>
    <w:rsid w:val="003A1E0C"/>
    <w:rsid w:val="003A5362"/>
    <w:rsid w:val="003A67C9"/>
    <w:rsid w:val="003C2CF2"/>
    <w:rsid w:val="003C5851"/>
    <w:rsid w:val="003C6583"/>
    <w:rsid w:val="003C724A"/>
    <w:rsid w:val="003D7A56"/>
    <w:rsid w:val="003E467A"/>
    <w:rsid w:val="00411830"/>
    <w:rsid w:val="00421132"/>
    <w:rsid w:val="004252FC"/>
    <w:rsid w:val="00434FFF"/>
    <w:rsid w:val="00452C0F"/>
    <w:rsid w:val="0045755A"/>
    <w:rsid w:val="004634C9"/>
    <w:rsid w:val="00475EF8"/>
    <w:rsid w:val="00493131"/>
    <w:rsid w:val="00494168"/>
    <w:rsid w:val="004A2858"/>
    <w:rsid w:val="004C3002"/>
    <w:rsid w:val="004D376E"/>
    <w:rsid w:val="004E3215"/>
    <w:rsid w:val="004F3ACD"/>
    <w:rsid w:val="0054707B"/>
    <w:rsid w:val="005647A1"/>
    <w:rsid w:val="00573BB5"/>
    <w:rsid w:val="005811ED"/>
    <w:rsid w:val="00596CD4"/>
    <w:rsid w:val="005D4C09"/>
    <w:rsid w:val="005E0E3A"/>
    <w:rsid w:val="005E6931"/>
    <w:rsid w:val="00611E85"/>
    <w:rsid w:val="00635310"/>
    <w:rsid w:val="00636718"/>
    <w:rsid w:val="006406AF"/>
    <w:rsid w:val="0066087D"/>
    <w:rsid w:val="006644D7"/>
    <w:rsid w:val="006A047C"/>
    <w:rsid w:val="006C44CE"/>
    <w:rsid w:val="006C5DAD"/>
    <w:rsid w:val="006D3B83"/>
    <w:rsid w:val="006E2360"/>
    <w:rsid w:val="00703BF7"/>
    <w:rsid w:val="0071484F"/>
    <w:rsid w:val="00742E55"/>
    <w:rsid w:val="00793FA2"/>
    <w:rsid w:val="007A7263"/>
    <w:rsid w:val="007B3FF2"/>
    <w:rsid w:val="007B6941"/>
    <w:rsid w:val="007E32B5"/>
    <w:rsid w:val="00821AFB"/>
    <w:rsid w:val="0085309C"/>
    <w:rsid w:val="0085674F"/>
    <w:rsid w:val="008A3C0F"/>
    <w:rsid w:val="008B4639"/>
    <w:rsid w:val="008B6F2D"/>
    <w:rsid w:val="008B7DAD"/>
    <w:rsid w:val="008C05B1"/>
    <w:rsid w:val="008F2973"/>
    <w:rsid w:val="009179A2"/>
    <w:rsid w:val="009444CF"/>
    <w:rsid w:val="00952E4E"/>
    <w:rsid w:val="00965CD1"/>
    <w:rsid w:val="00967201"/>
    <w:rsid w:val="00972C4E"/>
    <w:rsid w:val="009B454B"/>
    <w:rsid w:val="009D1815"/>
    <w:rsid w:val="009D500C"/>
    <w:rsid w:val="009D75F0"/>
    <w:rsid w:val="009E3D07"/>
    <w:rsid w:val="00A13A23"/>
    <w:rsid w:val="00A351CC"/>
    <w:rsid w:val="00A36F13"/>
    <w:rsid w:val="00A46563"/>
    <w:rsid w:val="00A50B58"/>
    <w:rsid w:val="00A544FF"/>
    <w:rsid w:val="00A63359"/>
    <w:rsid w:val="00A6754C"/>
    <w:rsid w:val="00A72610"/>
    <w:rsid w:val="00A77EFE"/>
    <w:rsid w:val="00A80F74"/>
    <w:rsid w:val="00AB63D4"/>
    <w:rsid w:val="00AD2C0B"/>
    <w:rsid w:val="00AD4E24"/>
    <w:rsid w:val="00AF73C8"/>
    <w:rsid w:val="00B10412"/>
    <w:rsid w:val="00B1293D"/>
    <w:rsid w:val="00B14061"/>
    <w:rsid w:val="00B911C0"/>
    <w:rsid w:val="00B92A37"/>
    <w:rsid w:val="00B94076"/>
    <w:rsid w:val="00BA7E19"/>
    <w:rsid w:val="00BB4D87"/>
    <w:rsid w:val="00BD04C4"/>
    <w:rsid w:val="00BD2933"/>
    <w:rsid w:val="00BD3455"/>
    <w:rsid w:val="00BF0A44"/>
    <w:rsid w:val="00C05D41"/>
    <w:rsid w:val="00C064E9"/>
    <w:rsid w:val="00C22509"/>
    <w:rsid w:val="00C4037B"/>
    <w:rsid w:val="00C46BA4"/>
    <w:rsid w:val="00C53BF3"/>
    <w:rsid w:val="00C7776F"/>
    <w:rsid w:val="00C823E5"/>
    <w:rsid w:val="00CC106E"/>
    <w:rsid w:val="00CC345F"/>
    <w:rsid w:val="00CD05E7"/>
    <w:rsid w:val="00CD4DA5"/>
    <w:rsid w:val="00CE4A1C"/>
    <w:rsid w:val="00CF2546"/>
    <w:rsid w:val="00D2413F"/>
    <w:rsid w:val="00D27F4B"/>
    <w:rsid w:val="00D30C17"/>
    <w:rsid w:val="00D32D8C"/>
    <w:rsid w:val="00D469BD"/>
    <w:rsid w:val="00D51FA5"/>
    <w:rsid w:val="00D57D9D"/>
    <w:rsid w:val="00D72C5E"/>
    <w:rsid w:val="00D771EC"/>
    <w:rsid w:val="00D80B1F"/>
    <w:rsid w:val="00D90639"/>
    <w:rsid w:val="00D90839"/>
    <w:rsid w:val="00D923DE"/>
    <w:rsid w:val="00D95C48"/>
    <w:rsid w:val="00D974CE"/>
    <w:rsid w:val="00DB3364"/>
    <w:rsid w:val="00DE05CC"/>
    <w:rsid w:val="00DE2020"/>
    <w:rsid w:val="00DE4886"/>
    <w:rsid w:val="00E064D0"/>
    <w:rsid w:val="00E163E6"/>
    <w:rsid w:val="00E4458B"/>
    <w:rsid w:val="00E61086"/>
    <w:rsid w:val="00E713FE"/>
    <w:rsid w:val="00E9491C"/>
    <w:rsid w:val="00EC5870"/>
    <w:rsid w:val="00EC7046"/>
    <w:rsid w:val="00F11AB0"/>
    <w:rsid w:val="00F17306"/>
    <w:rsid w:val="00F17860"/>
    <w:rsid w:val="00F254C5"/>
    <w:rsid w:val="00F42BD8"/>
    <w:rsid w:val="00F45C22"/>
    <w:rsid w:val="00F846EE"/>
    <w:rsid w:val="00F94180"/>
    <w:rsid w:val="00F97462"/>
    <w:rsid w:val="00FB620F"/>
    <w:rsid w:val="00FD5E02"/>
    <w:rsid w:val="00FE3945"/>
    <w:rsid w:val="00FE7685"/>
    <w:rsid w:val="04514632"/>
    <w:rsid w:val="08FDAE20"/>
    <w:rsid w:val="1204A254"/>
    <w:rsid w:val="25A50C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9C3F"/>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unhideWhenUsed/>
    <w:rsid w:val="00D30C17"/>
    <w:rPr>
      <w:color w:val="605E5C"/>
      <w:shd w:val="clear" w:color="auto" w:fill="E1DFDD"/>
    </w:rPr>
  </w:style>
  <w:style w:type="paragraph" w:styleId="Kommentartext">
    <w:name w:val="annotation text"/>
    <w:basedOn w:val="Standard"/>
    <w:link w:val="KommentartextZchn"/>
    <w:uiPriority w:val="99"/>
    <w:semiHidden/>
    <w:unhideWhenUsed/>
    <w:rsid w:val="00AF73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3C8"/>
    <w:rPr>
      <w:sz w:val="20"/>
      <w:szCs w:val="20"/>
    </w:rPr>
  </w:style>
  <w:style w:type="character" w:styleId="Kommentarzeichen">
    <w:name w:val="annotation reference"/>
    <w:basedOn w:val="Absatz-Standardschriftart"/>
    <w:uiPriority w:val="99"/>
    <w:semiHidden/>
    <w:unhideWhenUsed/>
    <w:rsid w:val="00AF73C8"/>
    <w:rPr>
      <w:sz w:val="16"/>
      <w:szCs w:val="16"/>
    </w:rPr>
  </w:style>
  <w:style w:type="character" w:customStyle="1" w:styleId="Erwhnung1">
    <w:name w:val="Erwähnung1"/>
    <w:basedOn w:val="Absatz-Standardschriftart"/>
    <w:uiPriority w:val="99"/>
    <w:unhideWhenUsed/>
    <w:rsid w:val="00AF73C8"/>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335631"/>
    <w:rPr>
      <w:b/>
      <w:bCs/>
    </w:rPr>
  </w:style>
  <w:style w:type="character" w:customStyle="1" w:styleId="KommentarthemaZchn">
    <w:name w:val="Kommentarthema Zchn"/>
    <w:basedOn w:val="KommentartextZchn"/>
    <w:link w:val="Kommentarthema"/>
    <w:uiPriority w:val="99"/>
    <w:semiHidden/>
    <w:rsid w:val="00335631"/>
    <w:rPr>
      <w:b/>
      <w:bCs/>
      <w:sz w:val="20"/>
      <w:szCs w:val="20"/>
    </w:rPr>
  </w:style>
  <w:style w:type="paragraph" w:styleId="berarbeitung">
    <w:name w:val="Revision"/>
    <w:hidden/>
    <w:uiPriority w:val="99"/>
    <w:semiHidden/>
    <w:rsid w:val="00342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Data_Flow_Engineering_Operation_Maintenance_EF.jpg" TargetMode="External"/><Relationship Id="rId18" Type="http://schemas.openxmlformats.org/officeDocument/2006/relationships/hyperlink" Target="https://www.aucotec.com/fileadmin/user_upload/News_Press/Press_Releases/2022/Pouria_G._Bigvand.jp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2/AUC_Grafik_EB-Alliance.jpg"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Pouria_G._Bigvand.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ucotec.com/fileadmin/user_upload/News_Press/Press_Releases/2022/Data_Flow_Engineering_Operation_Maintenance_EF.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2/AUC_Grafik_EB-Alliance.jpg" TargetMode="External"/><Relationship Id="rId19" Type="http://schemas.openxmlformats.org/officeDocument/2006/relationships/hyperlink" Target="https://www.auco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4F217-F1DF-41CC-9935-1D3D5BC13A84}">
  <ds:schemaRefs>
    <ds:schemaRef ds:uri="http://schemas.microsoft.com/sharepoint/v3/contenttype/forms"/>
  </ds:schemaRefs>
</ds:datastoreItem>
</file>

<file path=customXml/itemProps2.xml><?xml version="1.0" encoding="utf-8"?>
<ds:datastoreItem xmlns:ds="http://schemas.openxmlformats.org/officeDocument/2006/customXml" ds:itemID="{5615BAD9-F55E-4C51-B93C-E2334D836406}">
  <ds:schemaRefs>
    <ds:schemaRef ds:uri="http://schemas.microsoft.com/office/2006/documentManagement/types"/>
    <ds:schemaRef ds:uri="http://schemas.openxmlformats.org/package/2006/metadata/core-properties"/>
    <ds:schemaRef ds:uri="http://purl.org/dc/dcmitype/"/>
    <ds:schemaRef ds:uri="f513be9f-0e0e-459f-8f36-87e60ea3faef"/>
    <ds:schemaRef ds:uri="6b1d8337-6557-49da-88cf-7601faaffd9b"/>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4.xml><?xml version="1.0" encoding="utf-8"?>
<ds:datastoreItem xmlns:ds="http://schemas.openxmlformats.org/officeDocument/2006/customXml" ds:itemID="{CDD73EE2-54B2-4F56-BD0A-C4784C3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4</cp:revision>
  <cp:lastPrinted>2018-02-26T17:34:00Z</cp:lastPrinted>
  <dcterms:created xsi:type="dcterms:W3CDTF">2022-06-13T13:24:00Z</dcterms:created>
  <dcterms:modified xsi:type="dcterms:W3CDTF">2022-06-13T13:33:00Z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